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26" w:rsidRPr="00C87626" w:rsidRDefault="00C87626" w:rsidP="00C87626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6"/>
          <w:szCs w:val="26"/>
          <w:lang w:eastAsia="es-ES"/>
        </w:rPr>
      </w:pPr>
      <w:r w:rsidRPr="00C87626">
        <w:rPr>
          <w:rFonts w:ascii="Arial" w:eastAsia="Calibri" w:hAnsi="Arial" w:cs="Arial"/>
          <w:b/>
          <w:bCs/>
          <w:sz w:val="26"/>
          <w:szCs w:val="26"/>
          <w:lang w:eastAsia="es-ES"/>
        </w:rPr>
        <w:t>Prácticas sexuales de riesgo</w:t>
      </w:r>
    </w:p>
    <w:p w:rsidR="00C87626" w:rsidRPr="00773364" w:rsidRDefault="00C87626" w:rsidP="00773364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6"/>
          <w:lang w:eastAsia="es-ES"/>
        </w:rPr>
      </w:pPr>
    </w:p>
    <w:p w:rsidR="001E56EB" w:rsidRDefault="00483593" w:rsidP="001E56E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En las</w:t>
      </w:r>
      <w:r w:rsidR="00C87626" w:rsidRPr="00C87626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773364">
        <w:rPr>
          <w:rFonts w:ascii="Arial" w:eastAsia="Calibri" w:hAnsi="Arial" w:cs="Arial"/>
          <w:sz w:val="24"/>
          <w:szCs w:val="24"/>
          <w:lang w:val="es-ES_tradnl"/>
        </w:rPr>
        <w:t>“</w:t>
      </w:r>
      <w:r w:rsidR="00C87626" w:rsidRPr="00C87626">
        <w:rPr>
          <w:rFonts w:ascii="Arial" w:eastAsia="Calibri" w:hAnsi="Arial" w:cs="Arial"/>
          <w:sz w:val="24"/>
          <w:szCs w:val="24"/>
          <w:lang w:val="es-ES_tradnl"/>
        </w:rPr>
        <w:t>prácticas sexuales de riesgo</w:t>
      </w:r>
      <w:r w:rsidR="00773364">
        <w:rPr>
          <w:rFonts w:ascii="Arial" w:eastAsia="Calibri" w:hAnsi="Arial" w:cs="Arial"/>
          <w:sz w:val="24"/>
          <w:szCs w:val="24"/>
          <w:lang w:val="es-ES_tradnl"/>
        </w:rPr>
        <w:t xml:space="preserve">” se </w:t>
      </w:r>
      <w:r>
        <w:rPr>
          <w:rFonts w:ascii="Arial" w:eastAsia="Calibri" w:hAnsi="Arial" w:cs="Arial"/>
          <w:sz w:val="24"/>
          <w:szCs w:val="24"/>
          <w:lang w:val="es-ES_tradnl"/>
        </w:rPr>
        <w:t>incluyen</w:t>
      </w:r>
      <w:r w:rsidR="00C87626" w:rsidRPr="00C87626">
        <w:rPr>
          <w:rFonts w:ascii="Arial" w:eastAsia="Calibri" w:hAnsi="Arial" w:cs="Arial"/>
          <w:sz w:val="24"/>
          <w:szCs w:val="24"/>
          <w:lang w:val="es-ES_tradnl"/>
        </w:rPr>
        <w:t xml:space="preserve"> aquellos </w:t>
      </w:r>
      <w:r w:rsidR="00C87626" w:rsidRPr="00C87626">
        <w:rPr>
          <w:rFonts w:ascii="Arial" w:eastAsia="Calibri" w:hAnsi="Arial" w:cs="Arial"/>
          <w:sz w:val="24"/>
          <w:szCs w:val="24"/>
        </w:rPr>
        <w:t>patrones de actividad sexual que involucran contacto con otra</w:t>
      </w:r>
      <w:r>
        <w:rPr>
          <w:rFonts w:ascii="Arial" w:eastAsia="Calibri" w:hAnsi="Arial" w:cs="Arial"/>
          <w:sz w:val="24"/>
          <w:szCs w:val="24"/>
        </w:rPr>
        <w:t>/s</w:t>
      </w:r>
      <w:r w:rsidR="00C87626" w:rsidRPr="00C87626">
        <w:rPr>
          <w:rFonts w:ascii="Arial" w:eastAsia="Calibri" w:hAnsi="Arial" w:cs="Arial"/>
          <w:sz w:val="24"/>
          <w:szCs w:val="24"/>
        </w:rPr>
        <w:t xml:space="preserve"> persona</w:t>
      </w:r>
      <w:r>
        <w:rPr>
          <w:rFonts w:ascii="Arial" w:eastAsia="Calibri" w:hAnsi="Arial" w:cs="Arial"/>
          <w:sz w:val="24"/>
          <w:szCs w:val="24"/>
        </w:rPr>
        <w:t>/s</w:t>
      </w:r>
      <w:r w:rsidR="00C87626" w:rsidRPr="00C87626">
        <w:rPr>
          <w:rFonts w:ascii="Arial" w:eastAsia="Calibri" w:hAnsi="Arial" w:cs="Arial"/>
          <w:sz w:val="24"/>
          <w:szCs w:val="24"/>
        </w:rPr>
        <w:t xml:space="preserve"> o con los fluidos de la</w:t>
      </w:r>
      <w:r>
        <w:rPr>
          <w:rFonts w:ascii="Arial" w:eastAsia="Calibri" w:hAnsi="Arial" w:cs="Arial"/>
          <w:sz w:val="24"/>
          <w:szCs w:val="24"/>
        </w:rPr>
        <w:t>/s</w:t>
      </w:r>
      <w:r w:rsidR="00C87626" w:rsidRPr="00C87626">
        <w:rPr>
          <w:rFonts w:ascii="Arial" w:eastAsia="Calibri" w:hAnsi="Arial" w:cs="Arial"/>
          <w:sz w:val="24"/>
          <w:szCs w:val="24"/>
        </w:rPr>
        <w:t xml:space="preserve"> misma</w:t>
      </w:r>
      <w:r>
        <w:rPr>
          <w:rFonts w:ascii="Arial" w:eastAsia="Calibri" w:hAnsi="Arial" w:cs="Arial"/>
          <w:sz w:val="24"/>
          <w:szCs w:val="24"/>
        </w:rPr>
        <w:t>/s</w:t>
      </w:r>
      <w:r w:rsidR="00C87626" w:rsidRPr="00C87626">
        <w:rPr>
          <w:rFonts w:ascii="Arial" w:eastAsia="Calibri" w:hAnsi="Arial" w:cs="Arial"/>
          <w:sz w:val="24"/>
          <w:szCs w:val="24"/>
        </w:rPr>
        <w:t xml:space="preserve">; este intercambio es considerado un factor de riesgo </w:t>
      </w:r>
      <w:r w:rsidR="001E56EB">
        <w:rPr>
          <w:rFonts w:ascii="Arial" w:eastAsia="Calibri" w:hAnsi="Arial" w:cs="Arial"/>
          <w:sz w:val="24"/>
          <w:szCs w:val="24"/>
          <w:lang w:val="es-ES_tradnl"/>
        </w:rPr>
        <w:t xml:space="preserve">porque puede generar algún daño sobre la propia salud y sobre la de la otra persona (Espada, Quiles y Méndez, 2003; </w:t>
      </w:r>
      <w:proofErr w:type="spellStart"/>
      <w:r w:rsidR="001E56EB">
        <w:rPr>
          <w:rFonts w:ascii="Arial" w:eastAsia="Calibri" w:hAnsi="Arial" w:cs="Arial"/>
          <w:sz w:val="24"/>
          <w:szCs w:val="24"/>
          <w:lang w:val="es-ES_tradnl"/>
        </w:rPr>
        <w:t>Lanantuoni</w:t>
      </w:r>
      <w:proofErr w:type="spellEnd"/>
      <w:r w:rsidR="001E56EB">
        <w:rPr>
          <w:rFonts w:ascii="Arial" w:eastAsia="Calibri" w:hAnsi="Arial" w:cs="Arial"/>
          <w:sz w:val="24"/>
          <w:szCs w:val="24"/>
          <w:lang w:val="es-ES_tradnl"/>
        </w:rPr>
        <w:t xml:space="preserve">, 2008; </w:t>
      </w:r>
      <w:proofErr w:type="spellStart"/>
      <w:r w:rsidR="001E56EB">
        <w:rPr>
          <w:rFonts w:ascii="Arial" w:eastAsia="Calibri" w:hAnsi="Arial" w:cs="Arial"/>
          <w:sz w:val="24"/>
          <w:szCs w:val="24"/>
          <w:lang w:val="es-ES_tradnl"/>
        </w:rPr>
        <w:t>Bahamón</w:t>
      </w:r>
      <w:proofErr w:type="spellEnd"/>
      <w:r w:rsidR="001E56EB">
        <w:rPr>
          <w:rFonts w:ascii="Arial" w:eastAsia="Calibri" w:hAnsi="Arial" w:cs="Arial"/>
          <w:sz w:val="24"/>
          <w:szCs w:val="24"/>
          <w:lang w:val="es-ES_tradnl"/>
        </w:rPr>
        <w:t xml:space="preserve"> et al., 2014).</w:t>
      </w:r>
    </w:p>
    <w:p w:rsidR="001E56EB" w:rsidRDefault="001E56EB" w:rsidP="00C876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C87626" w:rsidRPr="00C87626" w:rsidRDefault="00773364" w:rsidP="00C876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Dentro de e</w:t>
      </w:r>
      <w:r w:rsidR="00C87626" w:rsidRPr="00C87626">
        <w:rPr>
          <w:rFonts w:ascii="Arial" w:eastAsia="Calibri" w:hAnsi="Arial" w:cs="Arial"/>
          <w:sz w:val="24"/>
          <w:szCs w:val="24"/>
          <w:lang w:val="es-ES_tradnl"/>
        </w:rPr>
        <w:t>stas prácticas se incluye</w:t>
      </w:r>
      <w:r>
        <w:rPr>
          <w:rFonts w:ascii="Arial" w:eastAsia="Calibri" w:hAnsi="Arial" w:cs="Arial"/>
          <w:sz w:val="24"/>
          <w:szCs w:val="24"/>
          <w:lang w:val="es-ES_tradnl"/>
        </w:rPr>
        <w:t>n</w:t>
      </w:r>
      <w:r w:rsidR="00C87626" w:rsidRPr="00C87626">
        <w:rPr>
          <w:rFonts w:ascii="Arial" w:eastAsia="Calibri" w:hAnsi="Arial" w:cs="Arial"/>
          <w:sz w:val="24"/>
          <w:szCs w:val="24"/>
          <w:lang w:val="es-ES_tradnl"/>
        </w:rPr>
        <w:t>: relaciones sexuales con consumo de drogas, sexo sin protección y promiscuidad; debido a que pueden tener consecuencias tales como enfermedades de transmisión sexual o embarazos no intencionados, entre otras (</w:t>
      </w:r>
      <w:r w:rsidR="00C87626" w:rsidRPr="00C87626">
        <w:rPr>
          <w:rFonts w:ascii="Arial" w:eastAsia="Calibri" w:hAnsi="Arial" w:cs="Arial"/>
          <w:sz w:val="24"/>
          <w:szCs w:val="24"/>
          <w:lang w:val="es-ES"/>
        </w:rPr>
        <w:t xml:space="preserve">Espinosa, 2003; </w:t>
      </w:r>
      <w:r w:rsidR="00C87626" w:rsidRPr="00C87626">
        <w:rPr>
          <w:rFonts w:ascii="Arial" w:eastAsia="Calibri" w:hAnsi="Arial" w:cs="Arial"/>
          <w:sz w:val="24"/>
          <w:szCs w:val="24"/>
          <w:lang w:val="es-ES_tradnl"/>
        </w:rPr>
        <w:t xml:space="preserve">Espada, Quiles y Méndez, 2003; </w:t>
      </w:r>
      <w:proofErr w:type="spellStart"/>
      <w:r w:rsidR="00C87626" w:rsidRPr="00C87626">
        <w:rPr>
          <w:rFonts w:ascii="Arial" w:eastAsia="Calibri" w:hAnsi="Arial" w:cs="Arial"/>
          <w:sz w:val="24"/>
          <w:szCs w:val="24"/>
          <w:lang w:val="es-ES"/>
        </w:rPr>
        <w:t>Bellis</w:t>
      </w:r>
      <w:proofErr w:type="spellEnd"/>
      <w:r w:rsidR="00C87626" w:rsidRPr="00C87626">
        <w:rPr>
          <w:rFonts w:ascii="Arial" w:eastAsia="Calibri" w:hAnsi="Arial" w:cs="Arial"/>
          <w:sz w:val="24"/>
          <w:szCs w:val="24"/>
          <w:lang w:val="es-ES"/>
        </w:rPr>
        <w:t xml:space="preserve"> y Hughes, 2004; Pérez y Pick, 2006; Bermúdez, </w:t>
      </w:r>
      <w:proofErr w:type="spellStart"/>
      <w:r w:rsidR="00C87626" w:rsidRPr="00C87626">
        <w:rPr>
          <w:rFonts w:ascii="Arial" w:eastAsia="Calibri" w:hAnsi="Arial" w:cs="Arial"/>
          <w:sz w:val="24"/>
          <w:szCs w:val="24"/>
          <w:lang w:val="es-ES"/>
        </w:rPr>
        <w:t>Teva</w:t>
      </w:r>
      <w:proofErr w:type="spellEnd"/>
      <w:r w:rsidR="00C87626" w:rsidRPr="00C87626">
        <w:rPr>
          <w:rFonts w:ascii="Arial" w:eastAsia="Calibri" w:hAnsi="Arial" w:cs="Arial"/>
          <w:sz w:val="24"/>
          <w:szCs w:val="24"/>
          <w:lang w:val="es-ES"/>
        </w:rPr>
        <w:t xml:space="preserve"> y </w:t>
      </w:r>
      <w:proofErr w:type="spellStart"/>
      <w:r w:rsidR="00C87626" w:rsidRPr="00C87626">
        <w:rPr>
          <w:rFonts w:ascii="Arial" w:eastAsia="Calibri" w:hAnsi="Arial" w:cs="Arial"/>
          <w:sz w:val="24"/>
          <w:szCs w:val="24"/>
          <w:lang w:val="es-ES"/>
        </w:rPr>
        <w:t>Buela</w:t>
      </w:r>
      <w:proofErr w:type="spellEnd"/>
      <w:r w:rsidR="00C87626" w:rsidRPr="00C87626">
        <w:rPr>
          <w:rFonts w:ascii="Arial" w:eastAsia="Calibri" w:hAnsi="Arial" w:cs="Arial"/>
          <w:sz w:val="24"/>
          <w:szCs w:val="24"/>
          <w:lang w:val="es-ES"/>
        </w:rPr>
        <w:t>-Casal, 2009;</w:t>
      </w:r>
      <w:r w:rsidR="00C87626" w:rsidRPr="00C87626">
        <w:rPr>
          <w:rFonts w:ascii="Arial" w:eastAsia="Calibri" w:hAnsi="Arial" w:cs="Arial"/>
          <w:bCs/>
          <w:sz w:val="24"/>
          <w:szCs w:val="26"/>
          <w:lang w:val="es-ES" w:eastAsia="es-ES"/>
        </w:rPr>
        <w:t xml:space="preserve"> Gobierno de la República, 2014</w:t>
      </w:r>
      <w:r w:rsidR="00C87626" w:rsidRPr="00C87626">
        <w:rPr>
          <w:rFonts w:ascii="Arial" w:eastAsia="Calibri" w:hAnsi="Arial" w:cs="Arial"/>
          <w:sz w:val="24"/>
          <w:szCs w:val="24"/>
          <w:lang w:val="es-ES_tradnl"/>
        </w:rPr>
        <w:t xml:space="preserve">). </w:t>
      </w:r>
    </w:p>
    <w:p w:rsidR="00C87626" w:rsidRPr="00C87626" w:rsidRDefault="00C87626" w:rsidP="00C87626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6"/>
          <w:lang w:eastAsia="es-ES"/>
        </w:rPr>
      </w:pPr>
    </w:p>
    <w:p w:rsidR="00C87626" w:rsidRPr="00130AF1" w:rsidRDefault="00C87626" w:rsidP="00C87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130AF1">
        <w:rPr>
          <w:rFonts w:ascii="Arial" w:hAnsi="Arial" w:cs="Arial"/>
          <w:color w:val="000000"/>
          <w:sz w:val="26"/>
          <w:szCs w:val="26"/>
        </w:rPr>
        <w:t>Situación en México</w:t>
      </w:r>
    </w:p>
    <w:p w:rsidR="00C87626" w:rsidRPr="00C87626" w:rsidRDefault="00C87626" w:rsidP="00C87626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C87626" w:rsidRPr="00C87626" w:rsidRDefault="00C87626" w:rsidP="00C87626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C87626">
        <w:rPr>
          <w:rFonts w:ascii="Arial" w:eastAsia="Calibri" w:hAnsi="Arial" w:cs="Arial"/>
          <w:sz w:val="24"/>
          <w:szCs w:val="24"/>
          <w:lang w:val="es-ES"/>
        </w:rPr>
        <w:t>El panorama general respecto a la sexualidad de los jóvenes se conoce mediante las siguientes fuentes:</w:t>
      </w:r>
    </w:p>
    <w:p w:rsidR="00C87626" w:rsidRPr="00C87626" w:rsidRDefault="00C87626" w:rsidP="00C87626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6"/>
          <w:lang w:eastAsia="es-ES"/>
        </w:rPr>
      </w:pPr>
    </w:p>
    <w:p w:rsidR="00C87626" w:rsidRPr="00C87626" w:rsidRDefault="00C87626" w:rsidP="00C87626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</w:pPr>
      <w:r w:rsidRPr="00C87626"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  <w:t>La Encuesta Nacional de Valores en la Juventud [ENVAJ] (</w:t>
      </w:r>
      <w:proofErr w:type="spellStart"/>
      <w:r w:rsidRPr="00C87626"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  <w:t>Imjuve</w:t>
      </w:r>
      <w:proofErr w:type="spellEnd"/>
      <w:r w:rsidRPr="00C87626"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  <w:t>, 2012) reportó que siete de cada diez jóvenes iniciaron su actividad sexual entre los 15 y 19 años de edad.</w:t>
      </w:r>
    </w:p>
    <w:p w:rsidR="00C87626" w:rsidRPr="00C87626" w:rsidRDefault="00C87626" w:rsidP="00C87626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</w:pPr>
      <w:r w:rsidRPr="00C87626"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  <w:t>La Encuesta Nacional de Juventud [ENJ] (</w:t>
      </w:r>
      <w:proofErr w:type="spellStart"/>
      <w:r w:rsidRPr="00C87626"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  <w:t>Imjuve</w:t>
      </w:r>
      <w:proofErr w:type="spellEnd"/>
      <w:r w:rsidRPr="00C87626"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  <w:t>, 2011) indicó:</w:t>
      </w:r>
    </w:p>
    <w:p w:rsidR="00C87626" w:rsidRPr="00C87626" w:rsidRDefault="00C87626" w:rsidP="00C87626">
      <w:pPr>
        <w:numPr>
          <w:ilvl w:val="1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</w:pPr>
      <w:r w:rsidRPr="00C87626"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  <w:t>El 55.6% de jóvenes utilizaron algún método anticonceptivo durante su primera relación sexual, siendo el principal método anticonceptivo el condón.</w:t>
      </w:r>
    </w:p>
    <w:p w:rsidR="00C87626" w:rsidRPr="00C87626" w:rsidRDefault="00C87626" w:rsidP="00C87626">
      <w:pPr>
        <w:numPr>
          <w:ilvl w:val="1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</w:pPr>
      <w:r w:rsidRPr="00C87626"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  <w:t xml:space="preserve">La principal razón para no utilizar algún método anticonceptivo durante su primera relación sexual lo inesperado del acto (46.3%), en tanto que –de manera similar- 1 de cada 10 jóvenes no lo hizo porque su pareja no quiso (11.0%), no conocía los métodos (10.3%), por decisión propia (9.3%) o por querer un embarazo (9.0%). </w:t>
      </w:r>
    </w:p>
    <w:p w:rsidR="00C87626" w:rsidRPr="00C87626" w:rsidRDefault="00C87626" w:rsidP="00C87626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</w:pPr>
      <w:r w:rsidRPr="00C87626"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  <w:t>La Encuesta Nacional de Salud y Nutrición [ENSANUT] (INSP, 2012) reportó que de los adolescentes de 12 a 19 años que habían iniciado su vida sexual, 14.7% de los hombres y 33.4% de las mujeres no utilizaron ningún método anticonceptivo en su primera relación sexual.</w:t>
      </w:r>
    </w:p>
    <w:p w:rsidR="00C87626" w:rsidRPr="00C87626" w:rsidRDefault="00C87626" w:rsidP="00C87626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Arial" w:eastAsia="Times New Roman" w:hAnsi="Arial" w:cs="Arial"/>
          <w:sz w:val="24"/>
          <w:lang w:bidi="en-US"/>
        </w:rPr>
      </w:pPr>
      <w:r w:rsidRPr="00C87626">
        <w:rPr>
          <w:rFonts w:ascii="Arial" w:eastAsia="Times New Roman" w:hAnsi="Arial" w:cs="Arial"/>
          <w:sz w:val="24"/>
          <w:lang w:bidi="en-US"/>
        </w:rPr>
        <w:t xml:space="preserve">La Encuesta Nacional de la Dinámica Demográfica [ENADID] (INEGI, 2014) registró que el </w:t>
      </w:r>
      <w:r w:rsidRPr="00C87626">
        <w:rPr>
          <w:rFonts w:ascii="Arial" w:eastAsia="Times New Roman" w:hAnsi="Arial" w:cs="Arial"/>
          <w:b/>
          <w:sz w:val="24"/>
          <w:lang w:bidi="en-US"/>
        </w:rPr>
        <w:t>44.9%</w:t>
      </w:r>
      <w:r w:rsidRPr="00C87626">
        <w:rPr>
          <w:rFonts w:ascii="Arial" w:eastAsia="Times New Roman" w:hAnsi="Arial" w:cs="Arial"/>
          <w:sz w:val="24"/>
          <w:lang w:bidi="en-US"/>
        </w:rPr>
        <w:t xml:space="preserve"> de las adolescentes de </w:t>
      </w:r>
      <w:r w:rsidRPr="00C87626">
        <w:rPr>
          <w:rFonts w:ascii="Arial" w:eastAsia="Times New Roman" w:hAnsi="Arial" w:cs="Arial"/>
          <w:b/>
          <w:sz w:val="24"/>
          <w:lang w:bidi="en-US"/>
        </w:rPr>
        <w:t>15 a 19 años</w:t>
      </w:r>
      <w:r w:rsidRPr="00C87626">
        <w:rPr>
          <w:rFonts w:ascii="Arial" w:eastAsia="Times New Roman" w:hAnsi="Arial" w:cs="Arial"/>
          <w:sz w:val="24"/>
          <w:lang w:bidi="en-US"/>
        </w:rPr>
        <w:t xml:space="preserve">, sexualmente activas, declaró no haber usado un método anticonceptivo durante su primera relación sexual. </w:t>
      </w:r>
    </w:p>
    <w:p w:rsidR="00C87626" w:rsidRPr="00C87626" w:rsidRDefault="00C87626" w:rsidP="00C87626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6"/>
          <w:lang w:val="es-ES" w:eastAsia="es-ES" w:bidi="en-US"/>
        </w:rPr>
      </w:pPr>
    </w:p>
    <w:p w:rsidR="00C87626" w:rsidRPr="00130AF1" w:rsidRDefault="00130AF1" w:rsidP="00C87626">
      <w:pPr>
        <w:spacing w:before="100" w:beforeAutospacing="1" w:after="0" w:afterAutospacing="1" w:line="240" w:lineRule="auto"/>
        <w:jc w:val="both"/>
        <w:rPr>
          <w:rFonts w:ascii="Arial" w:eastAsia="Calibri" w:hAnsi="Arial" w:cs="Arial"/>
          <w:sz w:val="26"/>
          <w:szCs w:val="26"/>
          <w:lang w:val="es-ES"/>
        </w:rPr>
      </w:pPr>
      <w:r>
        <w:rPr>
          <w:rFonts w:ascii="Arial" w:eastAsia="Calibri" w:hAnsi="Arial" w:cs="Arial"/>
          <w:sz w:val="26"/>
          <w:szCs w:val="26"/>
          <w:lang w:val="es-ES"/>
        </w:rPr>
        <w:t xml:space="preserve">Prácticas sexuales de riesgo </w:t>
      </w:r>
      <w:r w:rsidR="00C87626" w:rsidRPr="00130AF1">
        <w:rPr>
          <w:rFonts w:ascii="Arial" w:eastAsia="Calibri" w:hAnsi="Arial" w:cs="Arial"/>
          <w:sz w:val="26"/>
          <w:szCs w:val="26"/>
          <w:lang w:val="es-ES"/>
        </w:rPr>
        <w:t>y consumo de drogas</w:t>
      </w:r>
    </w:p>
    <w:p w:rsidR="00C87626" w:rsidRPr="00C87626" w:rsidRDefault="00C87626" w:rsidP="00C87626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6"/>
          <w:lang w:val="es-ES" w:eastAsia="es-ES"/>
        </w:rPr>
      </w:pPr>
      <w:r w:rsidRPr="00C87626">
        <w:rPr>
          <w:rFonts w:ascii="Arial" w:eastAsia="Calibri" w:hAnsi="Arial" w:cs="Arial"/>
          <w:bCs/>
          <w:sz w:val="24"/>
          <w:szCs w:val="26"/>
          <w:lang w:val="es-ES" w:eastAsia="es-ES"/>
        </w:rPr>
        <w:t xml:space="preserve">En la relación consumo de drogas-relaciones sexuales, es notable la influencia de la </w:t>
      </w:r>
      <w:r w:rsidRPr="00C87626">
        <w:rPr>
          <w:rFonts w:ascii="Arial" w:eastAsia="Calibri" w:hAnsi="Arial" w:cs="Arial"/>
          <w:bCs/>
          <w:sz w:val="24"/>
          <w:szCs w:val="24"/>
          <w:lang w:val="es-ES" w:eastAsia="es-ES"/>
        </w:rPr>
        <w:t xml:space="preserve">deseabilidad social y de los efectos agudos del consumo de drogas que inciden principalmente en la toma de decisiones y juicio, el control de los impulsos y el autocuidado, lo cual hace que los jóvenes descuiden sus prácticas preventivas y que además puedan experimentar </w:t>
      </w:r>
      <w:r w:rsidRPr="00C87626">
        <w:rPr>
          <w:rFonts w:ascii="Arial" w:eastAsia="Calibri" w:hAnsi="Arial" w:cs="Arial"/>
          <w:bCs/>
          <w:sz w:val="24"/>
          <w:szCs w:val="24"/>
          <w:lang w:val="es-ES_tradnl" w:eastAsia="es-ES"/>
        </w:rPr>
        <w:t>malestar emocional, como sentirse tristes, confundidos o culpables</w:t>
      </w:r>
      <w:r w:rsidRPr="00C87626">
        <w:rPr>
          <w:rFonts w:ascii="Arial" w:eastAsia="Calibri" w:hAnsi="Arial" w:cs="Arial"/>
          <w:bCs/>
          <w:sz w:val="24"/>
          <w:szCs w:val="24"/>
          <w:lang w:val="es-ES" w:eastAsia="es-ES"/>
        </w:rPr>
        <w:t xml:space="preserve"> (</w:t>
      </w:r>
      <w:r w:rsidRPr="00C87626">
        <w:rPr>
          <w:rFonts w:ascii="Arial" w:eastAsia="Calibri" w:hAnsi="Arial" w:cs="Arial"/>
          <w:sz w:val="24"/>
          <w:szCs w:val="24"/>
        </w:rPr>
        <w:t xml:space="preserve">Pick et al., 2000; </w:t>
      </w:r>
      <w:proofErr w:type="spellStart"/>
      <w:r w:rsidRPr="00C87626">
        <w:rPr>
          <w:rFonts w:ascii="Arial" w:eastAsia="Calibri" w:hAnsi="Arial" w:cs="Arial"/>
          <w:sz w:val="24"/>
          <w:szCs w:val="24"/>
        </w:rPr>
        <w:t>Rickert</w:t>
      </w:r>
      <w:proofErr w:type="spellEnd"/>
      <w:r w:rsidRPr="00C87626">
        <w:rPr>
          <w:rFonts w:ascii="Arial" w:eastAsia="Calibri" w:hAnsi="Arial" w:cs="Arial"/>
          <w:sz w:val="24"/>
          <w:szCs w:val="24"/>
        </w:rPr>
        <w:t xml:space="preserve"> et al., 2002; Ortega et al., 2005; </w:t>
      </w:r>
      <w:proofErr w:type="spellStart"/>
      <w:r w:rsidRPr="00C87626">
        <w:rPr>
          <w:rFonts w:ascii="Arial" w:eastAsia="Calibri" w:hAnsi="Arial" w:cs="Arial"/>
          <w:sz w:val="24"/>
          <w:szCs w:val="24"/>
        </w:rPr>
        <w:t>Faílde</w:t>
      </w:r>
      <w:proofErr w:type="spellEnd"/>
      <w:r w:rsidRPr="00C87626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87626">
        <w:rPr>
          <w:rFonts w:ascii="Arial" w:eastAsia="Calibri" w:hAnsi="Arial" w:cs="Arial"/>
          <w:sz w:val="24"/>
          <w:szCs w:val="24"/>
        </w:rPr>
        <w:t>Lameiras</w:t>
      </w:r>
      <w:proofErr w:type="spellEnd"/>
      <w:r w:rsidRPr="00C87626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Pr="00C87626">
        <w:rPr>
          <w:rFonts w:ascii="Arial" w:eastAsia="Calibri" w:hAnsi="Arial" w:cs="Arial"/>
          <w:sz w:val="24"/>
          <w:szCs w:val="24"/>
        </w:rPr>
        <w:t>Bimbela</w:t>
      </w:r>
      <w:proofErr w:type="spellEnd"/>
      <w:r w:rsidRPr="00C87626">
        <w:rPr>
          <w:rFonts w:ascii="Arial" w:eastAsia="Calibri" w:hAnsi="Arial" w:cs="Arial"/>
          <w:sz w:val="24"/>
          <w:szCs w:val="24"/>
        </w:rPr>
        <w:t xml:space="preserve">, 2008; </w:t>
      </w:r>
      <w:r w:rsidRPr="00C87626">
        <w:rPr>
          <w:rFonts w:ascii="Arial" w:eastAsia="Calibri" w:hAnsi="Arial" w:cs="Arial"/>
          <w:bCs/>
          <w:sz w:val="24"/>
          <w:szCs w:val="24"/>
          <w:lang w:val="es-ES" w:eastAsia="es-ES"/>
        </w:rPr>
        <w:t>Gobierno de la República, 2014).</w:t>
      </w:r>
    </w:p>
    <w:p w:rsidR="00C87626" w:rsidRPr="00130AF1" w:rsidRDefault="00773364" w:rsidP="00C87626">
      <w:pPr>
        <w:spacing w:before="100" w:beforeAutospacing="1" w:after="0" w:afterAutospacing="1" w:line="240" w:lineRule="auto"/>
        <w:ind w:right="-11"/>
        <w:jc w:val="both"/>
        <w:rPr>
          <w:rFonts w:ascii="Arial" w:eastAsia="Calibri" w:hAnsi="Arial" w:cs="Arial"/>
          <w:noProof/>
          <w:sz w:val="26"/>
          <w:szCs w:val="26"/>
          <w:lang w:eastAsia="es-ES"/>
        </w:rPr>
      </w:pPr>
      <w:r>
        <w:rPr>
          <w:rFonts w:ascii="Arial" w:eastAsia="Calibri" w:hAnsi="Arial" w:cs="Arial"/>
          <w:noProof/>
          <w:sz w:val="26"/>
          <w:szCs w:val="26"/>
          <w:lang w:eastAsia="es-ES"/>
        </w:rPr>
        <w:lastRenderedPageBreak/>
        <w:t>Recomendaciones preventivas</w:t>
      </w:r>
    </w:p>
    <w:p w:rsidR="001E56EB" w:rsidRPr="00083862" w:rsidRDefault="001E56EB" w:rsidP="001E56EB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s-ES" w:eastAsia="es-ES" w:bidi="en-US"/>
        </w:rPr>
      </w:pPr>
      <w:bookmarkStart w:id="0" w:name="_GoBack"/>
      <w:bookmarkEnd w:id="0"/>
      <w:r w:rsidRPr="00083862">
        <w:rPr>
          <w:rFonts w:ascii="Arial" w:eastAsia="Times New Roman" w:hAnsi="Arial" w:cs="Arial"/>
          <w:bCs/>
          <w:sz w:val="24"/>
          <w:szCs w:val="24"/>
          <w:lang w:val="es-ES" w:eastAsia="es-ES" w:bidi="en-US"/>
        </w:rPr>
        <w:t xml:space="preserve">Estrategias de sensibilización </w:t>
      </w:r>
      <w:r w:rsidRPr="00083862">
        <w:rPr>
          <w:rFonts w:ascii="Arial" w:hAnsi="Arial" w:cs="Arial"/>
          <w:sz w:val="24"/>
          <w:szCs w:val="24"/>
        </w:rPr>
        <w:t xml:space="preserve">para jóvenes, </w:t>
      </w:r>
      <w:r w:rsidRPr="00083862">
        <w:rPr>
          <w:rFonts w:ascii="Arial" w:eastAsia="Times New Roman" w:hAnsi="Arial" w:cs="Arial"/>
          <w:bCs/>
          <w:sz w:val="24"/>
          <w:szCs w:val="24"/>
          <w:lang w:val="es-ES" w:eastAsia="es-ES" w:bidi="en-US"/>
        </w:rPr>
        <w:t xml:space="preserve">madres / padres de familia y docentes, donde se aborden </w:t>
      </w:r>
      <w:r w:rsidRPr="00083862">
        <w:rPr>
          <w:rFonts w:ascii="Arial" w:hAnsi="Arial" w:cs="Arial"/>
          <w:sz w:val="24"/>
          <w:szCs w:val="24"/>
        </w:rPr>
        <w:t>riesgos y/o consecuencias asociados a las prácticas sexuales y el consumo de drogas.</w:t>
      </w:r>
    </w:p>
    <w:p w:rsidR="001E56EB" w:rsidRPr="00083862" w:rsidRDefault="001E56EB" w:rsidP="001E56EB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s-ES" w:eastAsia="es-ES" w:bidi="en-US"/>
        </w:rPr>
      </w:pPr>
      <w:r w:rsidRPr="0008386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Fomentar la comunicación acerca del tema de sexualidad a través de información fidedigna. </w:t>
      </w:r>
      <w:r w:rsidRPr="00083862">
        <w:rPr>
          <w:rFonts w:ascii="Arial" w:eastAsia="Times New Roman" w:hAnsi="Arial" w:cs="Arial"/>
          <w:bCs/>
          <w:noProof/>
          <w:sz w:val="24"/>
          <w:szCs w:val="24"/>
          <w:lang w:val="es-ES" w:eastAsia="es-ES" w:bidi="en-US"/>
        </w:rPr>
        <w:t xml:space="preserve"> </w:t>
      </w:r>
    </w:p>
    <w:p w:rsidR="001E56EB" w:rsidRPr="00083862" w:rsidRDefault="001E56EB" w:rsidP="001E56EB">
      <w:pPr>
        <w:pStyle w:val="Default"/>
        <w:numPr>
          <w:ilvl w:val="0"/>
          <w:numId w:val="17"/>
        </w:numPr>
        <w:jc w:val="both"/>
        <w:rPr>
          <w:rFonts w:ascii="Arial" w:hAnsi="Arial" w:cs="Arial"/>
        </w:rPr>
      </w:pPr>
      <w:r w:rsidRPr="00083862">
        <w:rPr>
          <w:rFonts w:ascii="Arial" w:eastAsia="Times New Roman" w:hAnsi="Arial" w:cs="Arial"/>
          <w:bCs/>
          <w:lang w:val="es-ES" w:eastAsia="es-ES" w:bidi="en-US"/>
        </w:rPr>
        <w:t xml:space="preserve">Desarrollo de habilidades y competencias en jóvenes para afrontar riesgos relacionados al tema. </w:t>
      </w:r>
    </w:p>
    <w:p w:rsidR="001E56EB" w:rsidRPr="00083862" w:rsidRDefault="001E56EB" w:rsidP="001E56E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6"/>
          <w:lang w:val="es-ES_tradnl" w:eastAsia="es-ES"/>
        </w:rPr>
      </w:pPr>
      <w:r w:rsidRPr="00083862">
        <w:rPr>
          <w:rFonts w:ascii="Arial" w:eastAsia="Calibri" w:hAnsi="Arial" w:cs="Arial"/>
          <w:bCs/>
          <w:sz w:val="24"/>
          <w:szCs w:val="26"/>
          <w:lang w:val="es-ES" w:eastAsia="es-ES"/>
        </w:rPr>
        <w:t>L</w:t>
      </w:r>
      <w:r w:rsidRPr="00083862">
        <w:rPr>
          <w:rFonts w:ascii="Arial" w:eastAsia="Calibri" w:hAnsi="Arial" w:cs="Arial"/>
          <w:bCs/>
          <w:sz w:val="24"/>
          <w:szCs w:val="26"/>
          <w:lang w:eastAsia="es-ES"/>
        </w:rPr>
        <w:t>a participación</w:t>
      </w:r>
      <w:r w:rsidRPr="00083862">
        <w:rPr>
          <w:rFonts w:ascii="Arial" w:eastAsia="Calibri" w:hAnsi="Arial" w:cs="Arial"/>
          <w:bCs/>
          <w:sz w:val="24"/>
          <w:szCs w:val="26"/>
          <w:lang w:val="es-ES_tradnl" w:eastAsia="es-ES"/>
        </w:rPr>
        <w:t xml:space="preserve"> de los jóvenes en la construcción, desarrollo y difusión de alternativas saludables y estrategias de protección ante este tipo de prácticas para contribuir al disfrute de una vida sexual activa, libre y responsable, pero sobre todo</w:t>
      </w:r>
      <w:r w:rsidRPr="00083862">
        <w:rPr>
          <w:rFonts w:ascii="Arial" w:eastAsia="Calibri" w:hAnsi="Arial" w:cs="Arial"/>
          <w:bCs/>
          <w:sz w:val="24"/>
          <w:szCs w:val="26"/>
          <w:lang w:val="es-ES_tradnl" w:eastAsia="es-ES"/>
        </w:rPr>
        <w:t xml:space="preserve"> </w:t>
      </w:r>
      <w:proofErr w:type="gramStart"/>
      <w:r w:rsidRPr="00083862">
        <w:rPr>
          <w:rFonts w:ascii="Arial" w:eastAsia="Calibri" w:hAnsi="Arial" w:cs="Arial"/>
          <w:bCs/>
          <w:sz w:val="24"/>
          <w:szCs w:val="26"/>
          <w:lang w:val="es-ES_tradnl" w:eastAsia="es-ES"/>
        </w:rPr>
        <w:t>placentera y satisfactoria</w:t>
      </w:r>
      <w:proofErr w:type="gramEnd"/>
      <w:r w:rsidRPr="00083862">
        <w:rPr>
          <w:rFonts w:ascii="Arial" w:eastAsia="Calibri" w:hAnsi="Arial" w:cs="Arial"/>
          <w:bCs/>
          <w:sz w:val="24"/>
          <w:szCs w:val="26"/>
          <w:lang w:val="es-ES_tradnl" w:eastAsia="es-ES"/>
        </w:rPr>
        <w:t xml:space="preserve"> a nivel físico, psicológico y social.</w:t>
      </w:r>
      <w:r w:rsidRPr="00083862">
        <w:rPr>
          <w:rFonts w:ascii="Arial" w:eastAsia="Calibri" w:hAnsi="Arial" w:cs="Arial"/>
          <w:b/>
          <w:bCs/>
          <w:sz w:val="24"/>
          <w:szCs w:val="26"/>
          <w:lang w:val="es-ES_tradnl" w:eastAsia="es-ES"/>
        </w:rPr>
        <w:t xml:space="preserve"> </w:t>
      </w:r>
    </w:p>
    <w:p w:rsidR="001E56EB" w:rsidRDefault="001E56EB" w:rsidP="00C87626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6"/>
          <w:lang w:val="es-ES_tradnl" w:eastAsia="es-ES"/>
        </w:rPr>
      </w:pPr>
    </w:p>
    <w:p w:rsidR="00C87626" w:rsidRPr="004507AB" w:rsidRDefault="00C87626" w:rsidP="00C87626">
      <w:pPr>
        <w:spacing w:after="0" w:line="240" w:lineRule="auto"/>
        <w:jc w:val="both"/>
        <w:rPr>
          <w:rFonts w:ascii="Calibri" w:eastAsia="Calibri" w:hAnsi="Calibri" w:cs="Times New Roman"/>
          <w:lang w:val="es-ES_tradnl"/>
        </w:rPr>
      </w:pPr>
    </w:p>
    <w:p w:rsidR="00EB2B84" w:rsidRDefault="00EB2B84" w:rsidP="00EB2B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2B84">
        <w:rPr>
          <w:rFonts w:ascii="Arial" w:hAnsi="Arial" w:cs="Arial"/>
          <w:sz w:val="26"/>
          <w:szCs w:val="26"/>
        </w:rPr>
        <w:t>Referencias</w:t>
      </w:r>
    </w:p>
    <w:p w:rsidR="00EB2B84" w:rsidRPr="00EB2B84" w:rsidRDefault="00EB2B84" w:rsidP="00EB2B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3C5E99">
        <w:rPr>
          <w:rFonts w:ascii="Arial" w:hAnsi="Arial" w:cs="Arial"/>
          <w:sz w:val="24"/>
          <w:szCs w:val="24"/>
        </w:rPr>
        <w:t>Bahamón</w:t>
      </w:r>
      <w:proofErr w:type="spellEnd"/>
      <w:r w:rsidRPr="003C5E99">
        <w:rPr>
          <w:rFonts w:ascii="Arial" w:hAnsi="Arial" w:cs="Arial"/>
          <w:sz w:val="24"/>
          <w:szCs w:val="24"/>
        </w:rPr>
        <w:t xml:space="preserve">, M., </w:t>
      </w:r>
      <w:proofErr w:type="spellStart"/>
      <w:r w:rsidRPr="003C5E99">
        <w:rPr>
          <w:rFonts w:ascii="Arial" w:hAnsi="Arial" w:cs="Arial"/>
          <w:sz w:val="24"/>
          <w:szCs w:val="24"/>
        </w:rPr>
        <w:t>Vianchá</w:t>
      </w:r>
      <w:proofErr w:type="spellEnd"/>
      <w:r w:rsidRPr="003C5E99">
        <w:rPr>
          <w:rFonts w:ascii="Arial" w:hAnsi="Arial" w:cs="Arial"/>
          <w:sz w:val="24"/>
          <w:szCs w:val="24"/>
        </w:rPr>
        <w:t>, M., Tobos, A. (2014). Prácticas y conductas sexuales de riesgo en jóvenes: una perspectiva de género. Psicología desde el Caribe, 31(2).</w:t>
      </w: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3C5E99">
        <w:rPr>
          <w:rFonts w:ascii="Arial" w:hAnsi="Arial" w:cs="Arial"/>
          <w:sz w:val="24"/>
          <w:szCs w:val="24"/>
        </w:rPr>
        <w:t>Bellis</w:t>
      </w:r>
      <w:proofErr w:type="spellEnd"/>
      <w:r w:rsidRPr="003C5E99">
        <w:rPr>
          <w:rFonts w:ascii="Arial" w:hAnsi="Arial" w:cs="Arial"/>
          <w:sz w:val="24"/>
          <w:szCs w:val="24"/>
        </w:rPr>
        <w:t>, A. &amp; Hughes, K. (2004). Pociones sexuales: relación entre alcohol, drogas y sexo. Adicciones, 16(4).</w:t>
      </w: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C5E99">
        <w:rPr>
          <w:rFonts w:ascii="Arial" w:hAnsi="Arial" w:cs="Arial"/>
          <w:sz w:val="24"/>
          <w:szCs w:val="24"/>
        </w:rPr>
        <w:t xml:space="preserve">Bermúdez, M., </w:t>
      </w:r>
      <w:proofErr w:type="spellStart"/>
      <w:r w:rsidRPr="003C5E99">
        <w:rPr>
          <w:rFonts w:ascii="Arial" w:hAnsi="Arial" w:cs="Arial"/>
          <w:sz w:val="24"/>
          <w:szCs w:val="24"/>
        </w:rPr>
        <w:t>Teva</w:t>
      </w:r>
      <w:proofErr w:type="spellEnd"/>
      <w:r w:rsidRPr="003C5E99">
        <w:rPr>
          <w:rFonts w:ascii="Arial" w:hAnsi="Arial" w:cs="Arial"/>
          <w:sz w:val="24"/>
          <w:szCs w:val="24"/>
        </w:rPr>
        <w:t xml:space="preserve">, I. &amp; </w:t>
      </w:r>
      <w:proofErr w:type="spellStart"/>
      <w:r w:rsidRPr="003C5E99">
        <w:rPr>
          <w:rFonts w:ascii="Arial" w:hAnsi="Arial" w:cs="Arial"/>
          <w:sz w:val="24"/>
          <w:szCs w:val="24"/>
        </w:rPr>
        <w:t>Buela</w:t>
      </w:r>
      <w:proofErr w:type="spellEnd"/>
      <w:r w:rsidRPr="003C5E99">
        <w:rPr>
          <w:rFonts w:ascii="Arial" w:hAnsi="Arial" w:cs="Arial"/>
          <w:sz w:val="24"/>
          <w:szCs w:val="24"/>
        </w:rPr>
        <w:t xml:space="preserve">-Casal, G. (2009). Influencia de variables sociodemográficas sobre los estilos de afrontamiento, el estrés social y la búsqueda de sensaciones sexuales en adolescentes. </w:t>
      </w:r>
      <w:proofErr w:type="spellStart"/>
      <w:r w:rsidRPr="003C5E99">
        <w:rPr>
          <w:rFonts w:ascii="Arial" w:hAnsi="Arial" w:cs="Arial"/>
          <w:sz w:val="24"/>
          <w:szCs w:val="24"/>
        </w:rPr>
        <w:t>Psicothema</w:t>
      </w:r>
      <w:proofErr w:type="spellEnd"/>
      <w:r w:rsidRPr="003C5E99">
        <w:rPr>
          <w:rFonts w:ascii="Arial" w:hAnsi="Arial" w:cs="Arial"/>
          <w:sz w:val="24"/>
          <w:szCs w:val="24"/>
        </w:rPr>
        <w:t xml:space="preserve">, 21(2). </w:t>
      </w: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C5E99">
        <w:rPr>
          <w:rFonts w:ascii="Arial" w:hAnsi="Arial" w:cs="Arial"/>
          <w:sz w:val="24"/>
          <w:szCs w:val="24"/>
        </w:rPr>
        <w:t>Espada, J. P., Quiles, M. J. y Méndez, F. J. (2003). Conductas sexuales de riesgo y prevención del SIDA en la adolescencia. Papeles del Psicólogo, 24(85), pp. 1-12.</w:t>
      </w: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C5E99">
        <w:rPr>
          <w:rFonts w:ascii="Arial" w:hAnsi="Arial" w:cs="Arial"/>
          <w:sz w:val="24"/>
          <w:szCs w:val="24"/>
        </w:rPr>
        <w:t xml:space="preserve">Espinosa, A. (2013). Sexo seguro y sexo protegido. Boletín Líber Hidalgo, (233). Recuperado de </w:t>
      </w:r>
      <w:hyperlink r:id="rId8" w:history="1">
        <w:r w:rsidRPr="003C5E99">
          <w:rPr>
            <w:rFonts w:ascii="Arial" w:hAnsi="Arial" w:cs="Arial"/>
            <w:sz w:val="24"/>
            <w:szCs w:val="24"/>
          </w:rPr>
          <w:t>http://www.centroliber.com/Boletines%20Liber/Sexologia/233</w:t>
        </w:r>
      </w:hyperlink>
      <w:r w:rsidRPr="003C5E99">
        <w:rPr>
          <w:rFonts w:ascii="Arial" w:hAnsi="Arial" w:cs="Arial"/>
          <w:sz w:val="24"/>
          <w:szCs w:val="24"/>
        </w:rPr>
        <w:t xml:space="preserve"> </w:t>
      </w: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3C5E99">
        <w:rPr>
          <w:rFonts w:ascii="Arial" w:hAnsi="Arial" w:cs="Arial"/>
          <w:sz w:val="24"/>
          <w:szCs w:val="24"/>
        </w:rPr>
        <w:t>Faílde</w:t>
      </w:r>
      <w:proofErr w:type="spellEnd"/>
      <w:r w:rsidRPr="003C5E99">
        <w:rPr>
          <w:rFonts w:ascii="Arial" w:hAnsi="Arial" w:cs="Arial"/>
          <w:sz w:val="24"/>
          <w:szCs w:val="24"/>
        </w:rPr>
        <w:t xml:space="preserve">, J.M., </w:t>
      </w:r>
      <w:proofErr w:type="spellStart"/>
      <w:r w:rsidRPr="003C5E99">
        <w:rPr>
          <w:rFonts w:ascii="Arial" w:hAnsi="Arial" w:cs="Arial"/>
          <w:sz w:val="24"/>
          <w:szCs w:val="24"/>
        </w:rPr>
        <w:t>Lameiras</w:t>
      </w:r>
      <w:proofErr w:type="spellEnd"/>
      <w:r w:rsidRPr="003C5E99">
        <w:rPr>
          <w:rFonts w:ascii="Arial" w:hAnsi="Arial" w:cs="Arial"/>
          <w:sz w:val="24"/>
          <w:szCs w:val="24"/>
        </w:rPr>
        <w:t xml:space="preserve">, M. &amp; </w:t>
      </w:r>
      <w:proofErr w:type="spellStart"/>
      <w:r w:rsidRPr="003C5E99">
        <w:rPr>
          <w:rFonts w:ascii="Arial" w:hAnsi="Arial" w:cs="Arial"/>
          <w:sz w:val="24"/>
          <w:szCs w:val="24"/>
        </w:rPr>
        <w:t>Bimbela</w:t>
      </w:r>
      <w:proofErr w:type="spellEnd"/>
      <w:r w:rsidRPr="003C5E99">
        <w:rPr>
          <w:rFonts w:ascii="Arial" w:hAnsi="Arial" w:cs="Arial"/>
          <w:sz w:val="24"/>
          <w:szCs w:val="24"/>
        </w:rPr>
        <w:t>, J.L. (2008). Prácticas sexuales de chicas y chicos españoles de 14-24 años de edad. Gaceta sanitaria, 22(6).</w:t>
      </w: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C5E99">
        <w:rPr>
          <w:rFonts w:ascii="Arial" w:hAnsi="Arial" w:cs="Arial"/>
          <w:sz w:val="24"/>
          <w:szCs w:val="24"/>
        </w:rPr>
        <w:t xml:space="preserve">Gobierno de la República. (2014). Encuesta Nacional para la Prevención del Embarazo en Adolescentes 2014. México. Recuperado de </w:t>
      </w:r>
      <w:hyperlink r:id="rId9" w:history="1">
        <w:r w:rsidRPr="003C5E99">
          <w:rPr>
            <w:rFonts w:ascii="Arial" w:hAnsi="Arial" w:cs="Arial"/>
            <w:sz w:val="24"/>
            <w:szCs w:val="24"/>
          </w:rPr>
          <w:t>http://www.issste.gob.mx/images/downloads/home/ENAPEA.pdf</w:t>
        </w:r>
      </w:hyperlink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C5E99">
        <w:rPr>
          <w:rFonts w:ascii="Arial" w:hAnsi="Arial" w:cs="Arial"/>
          <w:sz w:val="24"/>
          <w:szCs w:val="24"/>
        </w:rPr>
        <w:t>Instituto Mexicano de la Juventud (2011). Encuesta Nacional de Juventud 2010. México: SEP-</w:t>
      </w:r>
      <w:proofErr w:type="spellStart"/>
      <w:r w:rsidRPr="003C5E99">
        <w:rPr>
          <w:rFonts w:ascii="Arial" w:hAnsi="Arial" w:cs="Arial"/>
          <w:sz w:val="24"/>
          <w:szCs w:val="24"/>
        </w:rPr>
        <w:t>Imjuve</w:t>
      </w:r>
      <w:proofErr w:type="spellEnd"/>
      <w:r w:rsidRPr="003C5E99">
        <w:rPr>
          <w:rFonts w:ascii="Arial" w:hAnsi="Arial" w:cs="Arial"/>
          <w:sz w:val="24"/>
          <w:szCs w:val="24"/>
        </w:rPr>
        <w:t>.</w:t>
      </w: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C5E99">
        <w:rPr>
          <w:rFonts w:ascii="Arial" w:hAnsi="Arial" w:cs="Arial"/>
          <w:sz w:val="24"/>
          <w:szCs w:val="24"/>
        </w:rPr>
        <w:t>Instituto Mexicano de la Juventud (2012). Encuesta Nacional de Valores en la Juventud 2012. México: SEP-</w:t>
      </w:r>
      <w:proofErr w:type="spellStart"/>
      <w:r w:rsidRPr="003C5E99">
        <w:rPr>
          <w:rFonts w:ascii="Arial" w:hAnsi="Arial" w:cs="Arial"/>
          <w:sz w:val="24"/>
          <w:szCs w:val="24"/>
        </w:rPr>
        <w:t>Imjuve</w:t>
      </w:r>
      <w:proofErr w:type="spellEnd"/>
      <w:r w:rsidRPr="003C5E99">
        <w:rPr>
          <w:rFonts w:ascii="Arial" w:hAnsi="Arial" w:cs="Arial"/>
          <w:sz w:val="24"/>
          <w:szCs w:val="24"/>
        </w:rPr>
        <w:t>.</w:t>
      </w: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C5E99">
        <w:rPr>
          <w:rFonts w:ascii="Arial" w:hAnsi="Arial" w:cs="Arial"/>
          <w:sz w:val="24"/>
          <w:szCs w:val="24"/>
        </w:rPr>
        <w:t>Instituto Nacional de Estadística y Geografía (2014). Encuesta Nacional de la Dinámica Demográfica 2014. México: CONAPO-INEGI.</w:t>
      </w: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C5E99">
        <w:rPr>
          <w:rFonts w:ascii="Arial" w:hAnsi="Arial" w:cs="Arial"/>
          <w:sz w:val="24"/>
          <w:szCs w:val="24"/>
        </w:rPr>
        <w:t>Instituto Nacional de Salud Pública (2012). Encuesta Nacional de Salud y Nutrición 2012. México: INSP-SSA.</w:t>
      </w: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C5E99">
        <w:rPr>
          <w:rFonts w:ascii="Arial" w:hAnsi="Arial" w:cs="Arial"/>
          <w:sz w:val="24"/>
          <w:szCs w:val="24"/>
        </w:rPr>
        <w:t>Ortega, V., Ojeda, P., Sutil, F. &amp; Sierra, J.C. (2005). Culpabilidad sexual en adolescentes: Estudio de algunos factores asociados. Anales de psicología, 21(2).</w:t>
      </w:r>
    </w:p>
    <w:p w:rsidR="00EB2B84" w:rsidRPr="003C5E99" w:rsidRDefault="00EB2B84" w:rsidP="00EB2B84">
      <w:pPr>
        <w:tabs>
          <w:tab w:val="left" w:pos="6165"/>
          <w:tab w:val="left" w:pos="878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C5E99">
        <w:rPr>
          <w:rFonts w:ascii="Arial" w:hAnsi="Arial" w:cs="Arial"/>
          <w:sz w:val="24"/>
          <w:szCs w:val="24"/>
        </w:rPr>
        <w:t>Pérez, C. &amp; Pick, S. (2006). Conducta sexual protegida en adolescentes mexicanos. Interamericana de Psicología, 40(3).</w:t>
      </w:r>
    </w:p>
    <w:p w:rsidR="00777195" w:rsidRDefault="00777195"/>
    <w:sectPr w:rsidR="00777195" w:rsidSect="00FC6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80" w:rsidRDefault="00C12280" w:rsidP="00147673">
      <w:pPr>
        <w:spacing w:after="0" w:line="240" w:lineRule="auto"/>
      </w:pPr>
      <w:r>
        <w:separator/>
      </w:r>
    </w:p>
  </w:endnote>
  <w:endnote w:type="continuationSeparator" w:id="0">
    <w:p w:rsidR="00C12280" w:rsidRDefault="00C12280" w:rsidP="0014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80" w:rsidRDefault="00C12280" w:rsidP="00147673">
      <w:pPr>
        <w:spacing w:after="0" w:line="240" w:lineRule="auto"/>
      </w:pPr>
      <w:r>
        <w:separator/>
      </w:r>
    </w:p>
  </w:footnote>
  <w:footnote w:type="continuationSeparator" w:id="0">
    <w:p w:rsidR="00C12280" w:rsidRDefault="00C12280" w:rsidP="0014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588"/>
    </w:tblGrid>
    <w:tr w:rsidR="00147673" w:rsidTr="00147673">
      <w:trPr>
        <w:jc w:val="center"/>
      </w:trPr>
      <w:tc>
        <w:tcPr>
          <w:tcW w:w="1242" w:type="dxa"/>
        </w:tcPr>
        <w:p w:rsidR="00147673" w:rsidRDefault="00147673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766FA7BF" wp14:editId="34833529">
                <wp:extent cx="623441" cy="508958"/>
                <wp:effectExtent l="0" t="0" r="0" b="571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ij 2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269"/>
                        <a:stretch/>
                      </pic:blipFill>
                      <pic:spPr bwMode="auto">
                        <a:xfrm>
                          <a:off x="0" y="0"/>
                          <a:ext cx="624841" cy="5101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8" w:type="dxa"/>
          <w:vAlign w:val="center"/>
        </w:tcPr>
        <w:p w:rsidR="00147673" w:rsidRPr="00147673" w:rsidRDefault="00147673" w:rsidP="00147673">
          <w:pPr>
            <w:pStyle w:val="Encabezado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noProof/>
              <w:sz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9B3997" wp14:editId="65FD2B92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217805</wp:posOffset>
                    </wp:positionV>
                    <wp:extent cx="5339715" cy="8255"/>
                    <wp:effectExtent l="57150" t="38100" r="51435" b="86995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339715" cy="82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7.15pt" to="415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" strokecolor="#f79646 [3209]" strokeweight="3pt">
                    <v:shadow on="t" color="black" opacity="22937f" origin=",.5" offset="0,.63889mm"/>
                  </v:line>
                </w:pict>
              </mc:Fallback>
            </mc:AlternateContent>
          </w:r>
          <w:r w:rsidRPr="00147673">
            <w:rPr>
              <w:rFonts w:ascii="Arial" w:hAnsi="Arial" w:cs="Arial"/>
              <w:sz w:val="24"/>
            </w:rPr>
            <w:t>Centros de Integración Juvenil, A. C.</w:t>
          </w:r>
        </w:p>
      </w:tc>
    </w:tr>
  </w:tbl>
  <w:p w:rsidR="00147673" w:rsidRDefault="00147673" w:rsidP="00DE6F7B">
    <w:pPr>
      <w:pStyle w:val="Encabezado"/>
      <w:tabs>
        <w:tab w:val="clear" w:pos="4252"/>
        <w:tab w:val="clear" w:pos="8504"/>
        <w:tab w:val="left" w:pos="122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1BD"/>
    <w:multiLevelType w:val="hybridMultilevel"/>
    <w:tmpl w:val="13723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262"/>
    <w:multiLevelType w:val="hybridMultilevel"/>
    <w:tmpl w:val="BD2AA312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D7748"/>
    <w:multiLevelType w:val="hybridMultilevel"/>
    <w:tmpl w:val="9F04F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738F"/>
    <w:multiLevelType w:val="hybridMultilevel"/>
    <w:tmpl w:val="BBCC1688"/>
    <w:lvl w:ilvl="0" w:tplc="E52C5B4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BC44EE"/>
    <w:multiLevelType w:val="hybridMultilevel"/>
    <w:tmpl w:val="4E8CA2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318D8"/>
    <w:multiLevelType w:val="hybridMultilevel"/>
    <w:tmpl w:val="A0AC8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90850"/>
    <w:multiLevelType w:val="hybridMultilevel"/>
    <w:tmpl w:val="15047DC6"/>
    <w:lvl w:ilvl="0" w:tplc="972ABE86">
      <w:start w:val="1"/>
      <w:numFmt w:val="bullet"/>
      <w:lvlText w:val=""/>
      <w:lvlJc w:val="left"/>
      <w:pPr>
        <w:ind w:left="108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A00825"/>
    <w:multiLevelType w:val="hybridMultilevel"/>
    <w:tmpl w:val="4BA20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907D3"/>
    <w:multiLevelType w:val="hybridMultilevel"/>
    <w:tmpl w:val="CFE8ACA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842F7E"/>
    <w:multiLevelType w:val="hybridMultilevel"/>
    <w:tmpl w:val="845AE584"/>
    <w:lvl w:ilvl="0" w:tplc="E52C5B4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34F3D"/>
    <w:multiLevelType w:val="hybridMultilevel"/>
    <w:tmpl w:val="2BC20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B4489"/>
    <w:multiLevelType w:val="hybridMultilevel"/>
    <w:tmpl w:val="EF121C42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D76B2"/>
    <w:multiLevelType w:val="hybridMultilevel"/>
    <w:tmpl w:val="DDEC5E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C04C0"/>
    <w:multiLevelType w:val="hybridMultilevel"/>
    <w:tmpl w:val="D960B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32663"/>
    <w:multiLevelType w:val="hybridMultilevel"/>
    <w:tmpl w:val="A53A32E8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5113F"/>
    <w:multiLevelType w:val="hybridMultilevel"/>
    <w:tmpl w:val="8194AA0C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73"/>
    <w:rsid w:val="00083862"/>
    <w:rsid w:val="000E383A"/>
    <w:rsid w:val="00130AF1"/>
    <w:rsid w:val="001352EF"/>
    <w:rsid w:val="00147673"/>
    <w:rsid w:val="001E56EB"/>
    <w:rsid w:val="002B3511"/>
    <w:rsid w:val="004507AB"/>
    <w:rsid w:val="00457CD3"/>
    <w:rsid w:val="004733A5"/>
    <w:rsid w:val="00483593"/>
    <w:rsid w:val="0059571F"/>
    <w:rsid w:val="006A2815"/>
    <w:rsid w:val="006C2445"/>
    <w:rsid w:val="006C76DB"/>
    <w:rsid w:val="006D181F"/>
    <w:rsid w:val="00773364"/>
    <w:rsid w:val="00777195"/>
    <w:rsid w:val="007E6958"/>
    <w:rsid w:val="008C2021"/>
    <w:rsid w:val="008D5C1A"/>
    <w:rsid w:val="009542A4"/>
    <w:rsid w:val="00970485"/>
    <w:rsid w:val="00982BAA"/>
    <w:rsid w:val="00990A4E"/>
    <w:rsid w:val="009F5BA5"/>
    <w:rsid w:val="00A26CFD"/>
    <w:rsid w:val="00BE472D"/>
    <w:rsid w:val="00C12280"/>
    <w:rsid w:val="00C45235"/>
    <w:rsid w:val="00C46D84"/>
    <w:rsid w:val="00C7267E"/>
    <w:rsid w:val="00C72A93"/>
    <w:rsid w:val="00C87626"/>
    <w:rsid w:val="00CE1B1C"/>
    <w:rsid w:val="00DE6F7B"/>
    <w:rsid w:val="00EB2B84"/>
    <w:rsid w:val="00F67B1A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67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7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673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14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5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C46D84"/>
    <w:pPr>
      <w:ind w:left="720"/>
      <w:contextualSpacing/>
    </w:pPr>
  </w:style>
  <w:style w:type="paragraph" w:styleId="Sinespaciado">
    <w:name w:val="No Spacing"/>
    <w:aliases w:val="Tablas"/>
    <w:link w:val="SinespaciadoCar"/>
    <w:uiPriority w:val="1"/>
    <w:qFormat/>
    <w:rsid w:val="006A2815"/>
    <w:pPr>
      <w:spacing w:after="0" w:line="240" w:lineRule="auto"/>
      <w:jc w:val="both"/>
    </w:pPr>
    <w:rPr>
      <w:rFonts w:ascii="Arial Narrow" w:eastAsiaTheme="majorEastAsia" w:hAnsi="Arial Narrow" w:cstheme="majorBidi"/>
      <w:lang w:eastAsia="es-MX"/>
    </w:rPr>
  </w:style>
  <w:style w:type="character" w:customStyle="1" w:styleId="SinespaciadoCar">
    <w:name w:val="Sin espaciado Car"/>
    <w:aliases w:val="Tablas Car"/>
    <w:basedOn w:val="Fuentedeprrafopredeter"/>
    <w:link w:val="Sinespaciado"/>
    <w:uiPriority w:val="1"/>
    <w:locked/>
    <w:rsid w:val="006A2815"/>
    <w:rPr>
      <w:rFonts w:ascii="Arial Narrow" w:eastAsiaTheme="majorEastAsia" w:hAnsi="Arial Narrow" w:cstheme="majorBidi"/>
      <w:lang w:eastAsia="es-MX"/>
    </w:rPr>
  </w:style>
  <w:style w:type="paragraph" w:styleId="NormalWeb">
    <w:name w:val="Normal (Web)"/>
    <w:basedOn w:val="Normal"/>
    <w:uiPriority w:val="99"/>
    <w:unhideWhenUsed/>
    <w:rsid w:val="0099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B2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67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7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673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14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5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C46D84"/>
    <w:pPr>
      <w:ind w:left="720"/>
      <w:contextualSpacing/>
    </w:pPr>
  </w:style>
  <w:style w:type="paragraph" w:styleId="Sinespaciado">
    <w:name w:val="No Spacing"/>
    <w:aliases w:val="Tablas"/>
    <w:link w:val="SinespaciadoCar"/>
    <w:uiPriority w:val="1"/>
    <w:qFormat/>
    <w:rsid w:val="006A2815"/>
    <w:pPr>
      <w:spacing w:after="0" w:line="240" w:lineRule="auto"/>
      <w:jc w:val="both"/>
    </w:pPr>
    <w:rPr>
      <w:rFonts w:ascii="Arial Narrow" w:eastAsiaTheme="majorEastAsia" w:hAnsi="Arial Narrow" w:cstheme="majorBidi"/>
      <w:lang w:eastAsia="es-MX"/>
    </w:rPr>
  </w:style>
  <w:style w:type="character" w:customStyle="1" w:styleId="SinespaciadoCar">
    <w:name w:val="Sin espaciado Car"/>
    <w:aliases w:val="Tablas Car"/>
    <w:basedOn w:val="Fuentedeprrafopredeter"/>
    <w:link w:val="Sinespaciado"/>
    <w:uiPriority w:val="1"/>
    <w:locked/>
    <w:rsid w:val="006A2815"/>
    <w:rPr>
      <w:rFonts w:ascii="Arial Narrow" w:eastAsiaTheme="majorEastAsia" w:hAnsi="Arial Narrow" w:cstheme="majorBidi"/>
      <w:lang w:eastAsia="es-MX"/>
    </w:rPr>
  </w:style>
  <w:style w:type="paragraph" w:styleId="NormalWeb">
    <w:name w:val="Normal (Web)"/>
    <w:basedOn w:val="Normal"/>
    <w:uiPriority w:val="99"/>
    <w:unhideWhenUsed/>
    <w:rsid w:val="0099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B2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liber.com/Boletines%20Liber/Sexologia/233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sste.gob.mx/images/downloads/home/ENAPEA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Alesandro Alvarez Lemus</dc:creator>
  <cp:lastModifiedBy>Alesandro Alvarez Lemus</cp:lastModifiedBy>
  <cp:revision>6</cp:revision>
  <dcterms:created xsi:type="dcterms:W3CDTF">2017-05-02T22:34:00Z</dcterms:created>
  <dcterms:modified xsi:type="dcterms:W3CDTF">2017-05-02T22:54:00Z</dcterms:modified>
</cp:coreProperties>
</file>